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3B86" w14:textId="213209D9" w:rsidR="00A25A79" w:rsidRDefault="00D95FAB">
      <w:pPr>
        <w:jc w:val="right"/>
      </w:pPr>
      <w:r>
        <w:rPr>
          <w:highlight w:val="yellow"/>
        </w:rPr>
        <w:t>27</w:t>
      </w:r>
      <w:r w:rsidR="004F3DF4" w:rsidRPr="00843E01">
        <w:rPr>
          <w:highlight w:val="yellow"/>
        </w:rPr>
        <w:t>.08.2025</w:t>
      </w:r>
      <w:r w:rsidR="004F3DF4">
        <w:br/>
      </w:r>
    </w:p>
    <w:p w14:paraId="32845940" w14:textId="543DF1B8" w:rsidR="00A25A79" w:rsidRDefault="00BA64BF">
      <w:pPr>
        <w:jc w:val="center"/>
        <w:rPr>
          <w:b/>
          <w:sz w:val="32"/>
        </w:rPr>
      </w:pPr>
      <w:r>
        <w:rPr>
          <w:b/>
          <w:sz w:val="32"/>
        </w:rPr>
        <w:t xml:space="preserve">ETTEPANEK: Globaalse Euroopa instrument </w:t>
      </w:r>
      <w:r w:rsidRPr="00BA64BF">
        <w:rPr>
          <w:b/>
          <w:sz w:val="32"/>
        </w:rPr>
        <w:t>COM(2025) 551</w:t>
      </w:r>
    </w:p>
    <w:p w14:paraId="3147E2AB" w14:textId="0B4485E5" w:rsidR="00BA64BF" w:rsidRPr="00BA64BF" w:rsidRDefault="00BA64BF">
      <w:pPr>
        <w:jc w:val="center"/>
        <w:rPr>
          <w:i/>
          <w:iCs/>
        </w:rPr>
      </w:pPr>
      <w:proofErr w:type="spellStart"/>
      <w:r w:rsidRPr="00BA64BF">
        <w:rPr>
          <w:i/>
          <w:iCs/>
        </w:rPr>
        <w:t>Proposal</w:t>
      </w:r>
      <w:proofErr w:type="spellEnd"/>
      <w:r w:rsidRPr="00BA64BF">
        <w:rPr>
          <w:i/>
          <w:iCs/>
        </w:rPr>
        <w:t xml:space="preserve"> </w:t>
      </w:r>
      <w:proofErr w:type="spellStart"/>
      <w:r w:rsidRPr="00BA64BF">
        <w:rPr>
          <w:i/>
          <w:iCs/>
        </w:rPr>
        <w:t>for</w:t>
      </w:r>
      <w:proofErr w:type="spellEnd"/>
      <w:r w:rsidRPr="00BA64BF">
        <w:rPr>
          <w:i/>
          <w:iCs/>
        </w:rPr>
        <w:t xml:space="preserve"> a REGULATION OF THE EUROPEAN PARLIAMENT AND OF THE COUNCIL </w:t>
      </w:r>
      <w:proofErr w:type="spellStart"/>
      <w:r w:rsidRPr="00BA64BF">
        <w:rPr>
          <w:i/>
          <w:iCs/>
        </w:rPr>
        <w:t>establishing</w:t>
      </w:r>
      <w:proofErr w:type="spellEnd"/>
      <w:r w:rsidRPr="00BA64BF">
        <w:rPr>
          <w:i/>
          <w:iCs/>
        </w:rPr>
        <w:t xml:space="preserve"> Global Europe</w:t>
      </w:r>
    </w:p>
    <w:p w14:paraId="1A60B05D" w14:textId="77777777" w:rsidR="00A25A79" w:rsidRDefault="004F3DF4">
      <w:r>
        <w:rPr>
          <w:b/>
          <w:sz w:val="32"/>
        </w:rPr>
        <w:t>Otsuse ettepanek koordinatsioonikogule</w:t>
      </w:r>
    </w:p>
    <w:p w14:paraId="0A5A9789" w14:textId="77777777" w:rsidR="00A25A79" w:rsidRDefault="004F3DF4">
      <w:r>
        <w:t>Kujundada seisukoht</w:t>
      </w:r>
    </w:p>
    <w:p w14:paraId="50741BA4" w14:textId="763A7C6E" w:rsidR="00A25A79" w:rsidRDefault="004F3DF4">
      <w:r w:rsidRPr="00A60770">
        <w:t xml:space="preserve">Kaasvastutaja sisendi tähtpäev </w:t>
      </w:r>
      <w:r w:rsidR="00D268C4" w:rsidRPr="00A60770">
        <w:t>22</w:t>
      </w:r>
      <w:r w:rsidRPr="00A60770">
        <w:t>.10.2025</w:t>
      </w:r>
    </w:p>
    <w:p w14:paraId="11553740" w14:textId="43F3FAED" w:rsidR="00A25A79" w:rsidRDefault="004F3DF4">
      <w:proofErr w:type="spellStart"/>
      <w:r>
        <w:t>KOKi</w:t>
      </w:r>
      <w:proofErr w:type="spellEnd"/>
      <w:r>
        <w:t xml:space="preserve"> esitamise tähtpäev </w:t>
      </w:r>
      <w:r w:rsidR="41B80D21" w:rsidRPr="00D95FAB">
        <w:t>26</w:t>
      </w:r>
      <w:r w:rsidRPr="00D95FAB">
        <w:t>.11.2025</w:t>
      </w:r>
    </w:p>
    <w:p w14:paraId="0D354F78" w14:textId="163EAB1A" w:rsidR="00A25A79" w:rsidRDefault="004F3DF4">
      <w:r>
        <w:t xml:space="preserve">VV esitamise tähtpäev </w:t>
      </w:r>
      <w:r w:rsidR="616A4941" w:rsidRPr="00D95FAB">
        <w:t>04</w:t>
      </w:r>
      <w:r w:rsidRPr="00D95FAB">
        <w:t>.1</w:t>
      </w:r>
      <w:r w:rsidR="039FA9AF" w:rsidRPr="00D95FAB">
        <w:t>2</w:t>
      </w:r>
      <w:r w:rsidRPr="00D95FAB">
        <w:t>.2025</w:t>
      </w:r>
    </w:p>
    <w:p w14:paraId="48DD59DD" w14:textId="2AC6989E" w:rsidR="00B65392" w:rsidRDefault="00B65392">
      <w:r>
        <w:t>Subsidiaarsuse tähtpäev – ei ole veel määratud</w:t>
      </w:r>
    </w:p>
    <w:p w14:paraId="63E8EE11" w14:textId="27F275F7" w:rsidR="00B65392" w:rsidRDefault="00B65392" w:rsidP="00B65392">
      <w:r w:rsidRPr="00C96902">
        <w:rPr>
          <w:u w:val="single"/>
        </w:rPr>
        <w:t>Põhivastutaja</w:t>
      </w:r>
      <w:r>
        <w:t xml:space="preserve"> Välisministeerium</w:t>
      </w:r>
    </w:p>
    <w:p w14:paraId="05031FD5" w14:textId="3B7DD279" w:rsidR="00B65392" w:rsidRPr="00B65392" w:rsidRDefault="00B65392" w:rsidP="00235962">
      <w:pPr>
        <w:jc w:val="both"/>
        <w:rPr>
          <w:szCs w:val="24"/>
        </w:rPr>
      </w:pPr>
      <w:r w:rsidRPr="00A60770">
        <w:rPr>
          <w:szCs w:val="24"/>
          <w:u w:val="single"/>
        </w:rPr>
        <w:t>Kaasvastutajad</w:t>
      </w:r>
      <w:r w:rsidRPr="00A60770">
        <w:rPr>
          <w:szCs w:val="24"/>
        </w:rPr>
        <w:t xml:space="preserve"> </w:t>
      </w:r>
      <w:r w:rsidRPr="00A60770">
        <w:t xml:space="preserve">Rahandusministeerium, Kliimaministeerium, </w:t>
      </w:r>
      <w:r w:rsidR="00936095" w:rsidRPr="00A60770">
        <w:t xml:space="preserve">Siseministeerium, Justiits- ja Digiministeerium, Kaitseministeerium, Haridus- ja Teadusministeerium, </w:t>
      </w:r>
      <w:r w:rsidRPr="00A60770">
        <w:t>Sotsiaalministeerium, Regionaal- ja Põllumajandusministeerium, Majandus- ja Kommunikatsiooniministeerium, Kultuuriministeerium</w:t>
      </w:r>
    </w:p>
    <w:p w14:paraId="5136716E" w14:textId="77777777" w:rsidR="00A25A79" w:rsidRDefault="004F3DF4">
      <w:r>
        <w:rPr>
          <w:b/>
          <w:sz w:val="28"/>
        </w:rPr>
        <w:t>Seisukoha valitsusse toomise alus ja põhjendus</w:t>
      </w:r>
    </w:p>
    <w:p w14:paraId="30AA63B3" w14:textId="5CD55AC4" w:rsidR="00A25A79" w:rsidRDefault="004F3DF4">
      <w:r>
        <w:t>Algatuse vastuvõtmisega kaasneks oluline majanduslik või sotsiaalne mõju (RKKTS § 152¹ lg 1 p 2)</w:t>
      </w:r>
    </w:p>
    <w:p w14:paraId="13BFA298" w14:textId="77777777" w:rsidR="00A25A79" w:rsidRDefault="004F3DF4">
      <w:r>
        <w:rPr>
          <w:b/>
          <w:sz w:val="32"/>
        </w:rPr>
        <w:t>Sisukokkuvõte</w:t>
      </w:r>
    </w:p>
    <w:p w14:paraId="39CD6F85" w14:textId="77777777" w:rsidR="00A25A79" w:rsidRDefault="004F3DF4" w:rsidP="00876BE7">
      <w:pPr>
        <w:jc w:val="both"/>
      </w:pPr>
      <w:r>
        <w:t xml:space="preserve">Euroopa Komisjoni 17.07.2025 avaldatud ettepanek </w:t>
      </w:r>
      <w:r w:rsidRPr="00876BE7">
        <w:rPr>
          <w:b/>
          <w:bCs/>
        </w:rPr>
        <w:t>Globaalse Euroopa</w:t>
      </w:r>
      <w:r>
        <w:t xml:space="preserve"> instrumendi loomiseks on osa ELi 2028–2034 perioodi mitmeaastasest finantsraamistikust (MFF).</w:t>
      </w:r>
    </w:p>
    <w:p w14:paraId="193C140A" w14:textId="77777777" w:rsidR="00A25A79" w:rsidRDefault="004F3DF4" w:rsidP="00876BE7">
      <w:pPr>
        <w:jc w:val="both"/>
      </w:pPr>
      <w:r>
        <w:t>Uus Globaalse Euroopa instrument hakkab katma laienemispoliitikat, naabruspoliitikat, rahvusvaheliste partnerluste ja humanitaarabi poliitikat. Ettepaneku kohaselt ühendab see ELi 2021-2027 eelarveperioodi naabruspoliitika, arengu- ja rahvusvahelise koostöö rahastamisvahendi (NDICI - Global Europe); ühinemiseelse abi rahastamisvahendi (IPA III); humanitaarinstrumendi; ning Ukraina, Moldova ja Lääne-Balkani rahastud.</w:t>
      </w:r>
    </w:p>
    <w:p w14:paraId="75F4CB94" w14:textId="46D5D225" w:rsidR="00C548D1" w:rsidRDefault="004F3DF4" w:rsidP="00876BE7">
      <w:pPr>
        <w:jc w:val="both"/>
      </w:pPr>
      <w:r>
        <w:lastRenderedPageBreak/>
        <w:t>Globaalse Euroopa instrumendi plaanitud kogusumma on 200,3 miljardit EUR. Sellele peaks lisanduma täiendavalt kuni 100 miljardit EUR Ukraina jaoks (Ukraina reserv</w:t>
      </w:r>
      <w:r w:rsidR="00646372">
        <w:t>/</w:t>
      </w:r>
      <w:r>
        <w:t xml:space="preserve">"Ukraine Reserve", osa </w:t>
      </w:r>
      <w:proofErr w:type="spellStart"/>
      <w:r>
        <w:t>MFFi</w:t>
      </w:r>
      <w:proofErr w:type="spellEnd"/>
      <w:r>
        <w:t xml:space="preserve"> määrusest). </w:t>
      </w:r>
    </w:p>
    <w:p w14:paraId="30D98B7E" w14:textId="49986202" w:rsidR="00A25A79" w:rsidRDefault="004F3DF4" w:rsidP="00876BE7">
      <w:pPr>
        <w:jc w:val="both"/>
      </w:pPr>
      <w:r>
        <w:t>Instrument jaguneb geograafilisteks sammasteks, mille all on:</w:t>
      </w:r>
    </w:p>
    <w:p w14:paraId="24C91BAB" w14:textId="77777777" w:rsidR="00A25A79" w:rsidRPr="00876BE7" w:rsidRDefault="004F3DF4" w:rsidP="00876BE7">
      <w:pPr>
        <w:jc w:val="both"/>
        <w:rPr>
          <w:b/>
          <w:bCs/>
        </w:rPr>
      </w:pPr>
      <w:r w:rsidRPr="00876BE7">
        <w:rPr>
          <w:b/>
          <w:bCs/>
        </w:rPr>
        <w:t>1.</w:t>
      </w:r>
      <w:r w:rsidRPr="00876BE7">
        <w:rPr>
          <w:b/>
          <w:bCs/>
        </w:rPr>
        <w:tab/>
        <w:t>Programmeeritavad tegevused:</w:t>
      </w:r>
    </w:p>
    <w:p w14:paraId="5237401E" w14:textId="77777777" w:rsidR="00A25A79" w:rsidRDefault="004F3DF4" w:rsidP="00876BE7">
      <w:pPr>
        <w:spacing w:after="0"/>
        <w:jc w:val="both"/>
      </w:pPr>
      <w:r>
        <w:t>a.</w:t>
      </w:r>
      <w:r>
        <w:tab/>
        <w:t>Euroopa (43,2 miljardit EUR)</w:t>
      </w:r>
    </w:p>
    <w:p w14:paraId="2CA3A64D" w14:textId="77777777" w:rsidR="00A25A79" w:rsidRDefault="004F3DF4" w:rsidP="00876BE7">
      <w:pPr>
        <w:spacing w:after="0"/>
        <w:jc w:val="both"/>
      </w:pPr>
      <w:proofErr w:type="spellStart"/>
      <w:r>
        <w:t>b.</w:t>
      </w:r>
      <w:proofErr w:type="spellEnd"/>
      <w:r>
        <w:tab/>
        <w:t>Lähis-Ida ja Põhja-Aafrika (MENA) ning Laheriigid (43 miljardit EUR)</w:t>
      </w:r>
    </w:p>
    <w:p w14:paraId="1D2FA4ED" w14:textId="77777777" w:rsidR="00A25A79" w:rsidRDefault="004F3DF4" w:rsidP="00876BE7">
      <w:pPr>
        <w:spacing w:after="0"/>
        <w:jc w:val="both"/>
      </w:pPr>
      <w:proofErr w:type="spellStart"/>
      <w:r>
        <w:t>c.</w:t>
      </w:r>
      <w:proofErr w:type="spellEnd"/>
      <w:r>
        <w:tab/>
        <w:t>Sahaara-tagune Aafrika (60,5 miljardit EUR)</w:t>
      </w:r>
    </w:p>
    <w:p w14:paraId="47D6E07A" w14:textId="77777777" w:rsidR="00A25A79" w:rsidRDefault="004F3DF4" w:rsidP="00876BE7">
      <w:pPr>
        <w:spacing w:after="0"/>
        <w:jc w:val="both"/>
      </w:pPr>
      <w:proofErr w:type="spellStart"/>
      <w:r>
        <w:t>d.</w:t>
      </w:r>
      <w:proofErr w:type="spellEnd"/>
      <w:r>
        <w:tab/>
        <w:t>Aasia ja Vaikse ookeani piirkond (17 miljardit EUR)</w:t>
      </w:r>
    </w:p>
    <w:p w14:paraId="196E93FF" w14:textId="77777777" w:rsidR="00A25A79" w:rsidRDefault="004F3DF4" w:rsidP="00876BE7">
      <w:pPr>
        <w:spacing w:after="0"/>
        <w:jc w:val="both"/>
      </w:pPr>
      <w:proofErr w:type="spellStart"/>
      <w:r>
        <w:t>e.</w:t>
      </w:r>
      <w:proofErr w:type="spellEnd"/>
      <w:r>
        <w:tab/>
        <w:t>Ameerika ja Kariibi mere piirkond (9,1 miljardit EUR)</w:t>
      </w:r>
    </w:p>
    <w:p w14:paraId="423051C9" w14:textId="77777777" w:rsidR="00A25A79" w:rsidRDefault="004F3DF4" w:rsidP="00876BE7">
      <w:pPr>
        <w:spacing w:after="0"/>
        <w:jc w:val="both"/>
      </w:pPr>
      <w:proofErr w:type="spellStart"/>
      <w:r>
        <w:t>f.</w:t>
      </w:r>
      <w:proofErr w:type="spellEnd"/>
      <w:r>
        <w:tab/>
        <w:t>Globaalne (12,7 miljardit EUR)</w:t>
      </w:r>
    </w:p>
    <w:p w14:paraId="1D6E0983" w14:textId="77777777" w:rsidR="00876BE7" w:rsidRDefault="00876BE7" w:rsidP="00876BE7">
      <w:pPr>
        <w:spacing w:after="0"/>
        <w:jc w:val="both"/>
      </w:pPr>
    </w:p>
    <w:p w14:paraId="52BE760B" w14:textId="5F838304" w:rsidR="00A25A79" w:rsidRDefault="004F3DF4" w:rsidP="00876BE7">
      <w:pPr>
        <w:jc w:val="both"/>
      </w:pPr>
      <w:r>
        <w:t xml:space="preserve">Iga partnerriigi puhul on soov tekitada nn ühtne kontaktpunkt, et tekiks selgem ülevaade, mida konkreetses riigis </w:t>
      </w:r>
      <w:proofErr w:type="spellStart"/>
      <w:r>
        <w:t>välisrahastuse</w:t>
      </w:r>
      <w:proofErr w:type="spellEnd"/>
      <w:r>
        <w:t xml:space="preserve"> abil teha tahetakse. Programmeerimine jätkub mitmeaastaste indikatiivprogrammide (MIP) kaudu. Globaalne sammas keskendub ülemaailmsetele algatustele ning täiendab geograafilisi sambaid.</w:t>
      </w:r>
    </w:p>
    <w:p w14:paraId="6FC35EA8" w14:textId="77777777" w:rsidR="00A25A79" w:rsidRDefault="004F3DF4" w:rsidP="00876BE7">
      <w:pPr>
        <w:jc w:val="both"/>
      </w:pPr>
      <w:r w:rsidRPr="00876BE7">
        <w:rPr>
          <w:b/>
          <w:bCs/>
        </w:rPr>
        <w:t>2.</w:t>
      </w:r>
      <w:r w:rsidRPr="00876BE7">
        <w:rPr>
          <w:b/>
          <w:bCs/>
        </w:rPr>
        <w:tab/>
        <w:t>Mitteprogrammeeritavad tegevused</w:t>
      </w:r>
      <w:r>
        <w:t>, mille komponendid on:</w:t>
      </w:r>
    </w:p>
    <w:p w14:paraId="35134AFE" w14:textId="77777777" w:rsidR="00A25A79" w:rsidRDefault="004F3DF4" w:rsidP="00876BE7">
      <w:pPr>
        <w:spacing w:after="0"/>
        <w:jc w:val="both"/>
      </w:pPr>
      <w:r>
        <w:t>a.</w:t>
      </w:r>
      <w:r>
        <w:tab/>
        <w:t>Humanitaarabi – humanitaarrahastus hakkab toimuma Globaalse Euroopa raames ja on kooskõlas humanitaarabi 1996. aasta määrusega. Kogueraldistest antakse hinnanguliselt 25 miljardit EUR humanitaarabi meetmete rahastamiseks. Arvestades, et humanitaarabi on programmeerimata ja vajaduspõhine, määratakse jaotused sammaste kaupa hilisemas etapis, muuhulgas aastaste eelarvemenetluste kaudu.</w:t>
      </w:r>
    </w:p>
    <w:p w14:paraId="4030C4C5" w14:textId="77777777" w:rsidR="00A25A79" w:rsidRDefault="004F3DF4" w:rsidP="00876BE7">
      <w:pPr>
        <w:spacing w:after="0"/>
        <w:jc w:val="both"/>
      </w:pPr>
      <w:proofErr w:type="spellStart"/>
      <w:r>
        <w:t>b.</w:t>
      </w:r>
      <w:proofErr w:type="spellEnd"/>
      <w:r>
        <w:tab/>
        <w:t>Makrofinantsabi</w:t>
      </w:r>
    </w:p>
    <w:p w14:paraId="29F992E2" w14:textId="77777777" w:rsidR="00A25A79" w:rsidRDefault="004F3DF4" w:rsidP="00876BE7">
      <w:pPr>
        <w:spacing w:after="0"/>
        <w:jc w:val="both"/>
      </w:pPr>
      <w:proofErr w:type="spellStart"/>
      <w:r>
        <w:t>c.</w:t>
      </w:r>
      <w:proofErr w:type="spellEnd"/>
      <w:r>
        <w:tab/>
        <w:t>Kerksus</w:t>
      </w:r>
    </w:p>
    <w:p w14:paraId="6684AF5B" w14:textId="77777777" w:rsidR="00A25A79" w:rsidRDefault="004F3DF4" w:rsidP="00876BE7">
      <w:pPr>
        <w:spacing w:after="0"/>
        <w:jc w:val="both"/>
      </w:pPr>
      <w:proofErr w:type="spellStart"/>
      <w:r>
        <w:t>d.</w:t>
      </w:r>
      <w:proofErr w:type="spellEnd"/>
      <w:r>
        <w:tab/>
        <w:t>Konkurentsivõime</w:t>
      </w:r>
    </w:p>
    <w:p w14:paraId="0B482C4D" w14:textId="77777777" w:rsidR="00A25A79" w:rsidRDefault="004F3DF4" w:rsidP="00876BE7">
      <w:pPr>
        <w:spacing w:after="0"/>
        <w:jc w:val="both"/>
      </w:pPr>
      <w:proofErr w:type="spellStart"/>
      <w:r>
        <w:t>e.</w:t>
      </w:r>
      <w:proofErr w:type="spellEnd"/>
      <w:r>
        <w:tab/>
        <w:t>Kriiside, rahu ja välispoliitika vajadused</w:t>
      </w:r>
    </w:p>
    <w:p w14:paraId="2E434CBD" w14:textId="77777777" w:rsidR="00876BE7" w:rsidRDefault="00876BE7" w:rsidP="00876BE7">
      <w:pPr>
        <w:spacing w:after="0"/>
        <w:jc w:val="both"/>
      </w:pPr>
    </w:p>
    <w:p w14:paraId="6AD82B36" w14:textId="77777777" w:rsidR="00A25A79" w:rsidRDefault="004F3DF4" w:rsidP="00876BE7">
      <w:pPr>
        <w:jc w:val="both"/>
      </w:pPr>
      <w:r w:rsidRPr="00876BE7">
        <w:rPr>
          <w:b/>
          <w:bCs/>
        </w:rPr>
        <w:t>3.</w:t>
      </w:r>
      <w:r w:rsidRPr="00876BE7">
        <w:rPr>
          <w:b/>
          <w:bCs/>
        </w:rPr>
        <w:tab/>
        <w:t>Eriolukordade või nö tärkavate väljakutsete ja prioriteetide jaoks</w:t>
      </w:r>
      <w:r>
        <w:t xml:space="preserve"> on ette nähtud 14,8 miljardi EUR suurune puhver, mis toetab kõiki sambaid.</w:t>
      </w:r>
    </w:p>
    <w:p w14:paraId="01FE9B06" w14:textId="77777777" w:rsidR="00A25A79" w:rsidRDefault="004F3DF4" w:rsidP="00876BE7">
      <w:pPr>
        <w:jc w:val="both"/>
      </w:pPr>
      <w:r>
        <w:t>Kas EL algatus reguleerib karistusi või haldustrahve? Ei</w:t>
      </w:r>
    </w:p>
    <w:p w14:paraId="1F8DF7F1" w14:textId="77777777" w:rsidR="00A25A79" w:rsidRDefault="004F3DF4" w:rsidP="00876BE7">
      <w:pPr>
        <w:jc w:val="both"/>
      </w:pPr>
      <w:r>
        <w:t>Kas nähakse ette uue asutuse loomine (</w:t>
      </w:r>
      <w:proofErr w:type="spellStart"/>
      <w:r>
        <w:t>järelevalvelised</w:t>
      </w:r>
      <w:proofErr w:type="spellEnd"/>
      <w:r>
        <w:t xml:space="preserve"> või muud asutused)? Ei</w:t>
      </w:r>
    </w:p>
    <w:p w14:paraId="246DAC53" w14:textId="77777777" w:rsidR="00A25A79" w:rsidRDefault="004F3DF4" w:rsidP="00876BE7">
      <w:pPr>
        <w:jc w:val="both"/>
      </w:pPr>
      <w:r>
        <w:lastRenderedPageBreak/>
        <w:t>Kas lahenduse rakendamine vajab IT-arendusi? Ei</w:t>
      </w:r>
    </w:p>
    <w:p w14:paraId="1E78B97B" w14:textId="77777777" w:rsidR="00A25A79" w:rsidRDefault="004F3DF4">
      <w:pPr>
        <w:rPr>
          <w:b/>
          <w:sz w:val="32"/>
        </w:rPr>
      </w:pPr>
      <w:r>
        <w:rPr>
          <w:b/>
          <w:sz w:val="32"/>
        </w:rPr>
        <w:t>Eesmärgid</w:t>
      </w:r>
    </w:p>
    <w:p w14:paraId="10A02FF5" w14:textId="6C5C8ABD" w:rsidR="00876BE7" w:rsidRDefault="00876BE7">
      <w:r>
        <w:t>Uus instrument juhindub järgmistest põhimõtetest:</w:t>
      </w:r>
    </w:p>
    <w:p w14:paraId="370FFC21" w14:textId="1B38FFC9" w:rsidR="00C548D1" w:rsidRDefault="004F3DF4" w:rsidP="00C5151B">
      <w:pPr>
        <w:pStyle w:val="Loendilik"/>
        <w:numPr>
          <w:ilvl w:val="0"/>
          <w:numId w:val="1"/>
        </w:numPr>
        <w:jc w:val="both"/>
      </w:pPr>
      <w:r w:rsidRPr="00C548D1">
        <w:rPr>
          <w:b/>
          <w:bCs/>
        </w:rPr>
        <w:t>Lihtsustamine</w:t>
      </w:r>
      <w:r w:rsidR="00C5151B">
        <w:rPr>
          <w:b/>
          <w:bCs/>
        </w:rPr>
        <w:t xml:space="preserve">. </w:t>
      </w:r>
      <w:r w:rsidR="00C5151B" w:rsidRPr="00C5151B">
        <w:t>S</w:t>
      </w:r>
      <w:r w:rsidRPr="00C5151B">
        <w:t>oov</w:t>
      </w:r>
      <w:r>
        <w:t xml:space="preserve"> on </w:t>
      </w:r>
      <w:proofErr w:type="spellStart"/>
      <w:r>
        <w:t>välistegevuse</w:t>
      </w:r>
      <w:proofErr w:type="spellEnd"/>
      <w:r>
        <w:t xml:space="preserve"> arhitektuuri lihtsustada ja luua üks peamine instrument ELi </w:t>
      </w:r>
      <w:proofErr w:type="spellStart"/>
      <w:r>
        <w:t>välistegevuste</w:t>
      </w:r>
      <w:proofErr w:type="spellEnd"/>
      <w:r>
        <w:t xml:space="preserve"> rahastamiseks. Ukraina reservi rahastamine toimub eraldi potist ning selle loomine on hõlmatud </w:t>
      </w:r>
      <w:proofErr w:type="spellStart"/>
      <w:r>
        <w:t>MFFi</w:t>
      </w:r>
      <w:proofErr w:type="spellEnd"/>
      <w:r>
        <w:t xml:space="preserve"> 2028-2034 määruse artikkel 6 alla (COM(2025) 571 </w:t>
      </w:r>
      <w:proofErr w:type="spellStart"/>
      <w:r>
        <w:t>final</w:t>
      </w:r>
      <w:proofErr w:type="spellEnd"/>
      <w:r>
        <w:t>), aga viiakse ellu Globaalse Euroopa instrumendi kaudu. Humanitaarabi rahastus liigub Globaalse Euroopa alla. Toimub horisontaalne tulemuslikkuse reguleerimine (ühtlustatakse tegevuste hindamist, mõõdikuid, aruandlust).</w:t>
      </w:r>
    </w:p>
    <w:p w14:paraId="2AF7C5FB" w14:textId="54DBAB4D" w:rsidR="00C548D1" w:rsidRPr="00C5151B" w:rsidRDefault="004F3DF4" w:rsidP="00DC2C31">
      <w:pPr>
        <w:pStyle w:val="Loendilik"/>
        <w:numPr>
          <w:ilvl w:val="0"/>
          <w:numId w:val="1"/>
        </w:numPr>
        <w:jc w:val="both"/>
      </w:pPr>
      <w:r w:rsidRPr="00C548D1">
        <w:rPr>
          <w:b/>
          <w:bCs/>
        </w:rPr>
        <w:t>Sidusus</w:t>
      </w:r>
      <w:r w:rsidR="00C5151B">
        <w:rPr>
          <w:b/>
          <w:bCs/>
        </w:rPr>
        <w:t xml:space="preserve">. </w:t>
      </w:r>
      <w:r w:rsidR="00C5151B" w:rsidRPr="00C5151B">
        <w:t>I</w:t>
      </w:r>
      <w:r w:rsidRPr="00C5151B">
        <w:t>nstrument</w:t>
      </w:r>
      <w:r>
        <w:t xml:space="preserve"> muutub teemapõhiselt geograafiapõhisemak</w:t>
      </w:r>
      <w:r w:rsidR="00C548D1">
        <w:t>s</w:t>
      </w:r>
      <w:r>
        <w:t>, et vähendada riikide vajadust teatud valdkondades rahastuse pärast võistelda. Instrumendi eri osad peaksid üksteist täiendama, koherentsust soovitakse tekitada nii instrumendi sees kui sellest väljapoole jäävate osadega, rohkem oodatakse Euroopa tiimi lähenemist.</w:t>
      </w:r>
    </w:p>
    <w:p w14:paraId="356AA7CE" w14:textId="1CD808D9" w:rsidR="00C548D1" w:rsidRPr="00C5151B" w:rsidRDefault="004F3DF4" w:rsidP="00C5151B">
      <w:pPr>
        <w:pStyle w:val="Loendilik"/>
        <w:numPr>
          <w:ilvl w:val="0"/>
          <w:numId w:val="1"/>
        </w:numPr>
        <w:jc w:val="both"/>
      </w:pPr>
      <w:r w:rsidRPr="00C548D1">
        <w:rPr>
          <w:b/>
          <w:bCs/>
        </w:rPr>
        <w:t xml:space="preserve">Paindlikkus ja </w:t>
      </w:r>
      <w:proofErr w:type="spellStart"/>
      <w:r w:rsidRPr="00C548D1">
        <w:rPr>
          <w:b/>
          <w:bCs/>
        </w:rPr>
        <w:t>ennustatavus</w:t>
      </w:r>
      <w:proofErr w:type="spellEnd"/>
      <w:r w:rsidR="00C5151B">
        <w:rPr>
          <w:b/>
          <w:bCs/>
        </w:rPr>
        <w:t xml:space="preserve">. </w:t>
      </w:r>
      <w:r w:rsidR="00C5151B" w:rsidRPr="00C5151B">
        <w:t>S</w:t>
      </w:r>
      <w:r w:rsidRPr="00C5151B">
        <w:t>elle</w:t>
      </w:r>
      <w:r>
        <w:t xml:space="preserve"> tagamiseks luuakse eriolukordade puhver, on rohkem võimalusi rahade liigutamiseks nii erinevate geograafiliste sammaste sees kui vahel. Vähemalt 90% instrumendi raames tehtavatest kulutustest peab vastama arengukoostöö ametliku abi (</w:t>
      </w:r>
      <w:proofErr w:type="spellStart"/>
      <w:r w:rsidRPr="00C548D1">
        <w:rPr>
          <w:i/>
          <w:iCs/>
        </w:rPr>
        <w:t>official</w:t>
      </w:r>
      <w:proofErr w:type="spellEnd"/>
      <w:r w:rsidRPr="00C548D1">
        <w:rPr>
          <w:i/>
          <w:iCs/>
        </w:rPr>
        <w:t xml:space="preserve"> </w:t>
      </w:r>
      <w:proofErr w:type="spellStart"/>
      <w:r w:rsidRPr="00C548D1">
        <w:rPr>
          <w:i/>
          <w:iCs/>
        </w:rPr>
        <w:t>development</w:t>
      </w:r>
      <w:proofErr w:type="spellEnd"/>
      <w:r w:rsidRPr="00C548D1">
        <w:rPr>
          <w:i/>
          <w:iCs/>
        </w:rPr>
        <w:t xml:space="preserve"> </w:t>
      </w:r>
      <w:proofErr w:type="spellStart"/>
      <w:r w:rsidRPr="00C548D1">
        <w:rPr>
          <w:i/>
          <w:iCs/>
        </w:rPr>
        <w:t>assistance</w:t>
      </w:r>
      <w:proofErr w:type="spellEnd"/>
      <w:r>
        <w:t xml:space="preserve">; ODA) kriteeriumidele </w:t>
      </w:r>
      <w:r w:rsidR="00DE62D4">
        <w:t>ja</w:t>
      </w:r>
      <w:r>
        <w:t xml:space="preserve"> 30% kliima- ja keskkonnaeesmärkidele. Ukraina jaoks ette nähtud </w:t>
      </w:r>
      <w:r w:rsidR="00352278">
        <w:t>vahendite</w:t>
      </w:r>
      <w:r>
        <w:t xml:space="preserve"> </w:t>
      </w:r>
      <w:r w:rsidR="00352278">
        <w:t xml:space="preserve">puhul erandina </w:t>
      </w:r>
      <w:r>
        <w:t>rahade ümberliigutamise paindlikkus ei kehti ja seda saab kasutada ainult Ukraina eesmärkideks.</w:t>
      </w:r>
    </w:p>
    <w:p w14:paraId="31C1B0EE" w14:textId="3717F5B5" w:rsidR="00A25A79" w:rsidRDefault="004F3DF4" w:rsidP="00C5151B">
      <w:pPr>
        <w:pStyle w:val="Loendilik"/>
        <w:numPr>
          <w:ilvl w:val="0"/>
          <w:numId w:val="1"/>
        </w:numPr>
        <w:jc w:val="both"/>
      </w:pPr>
      <w:r w:rsidRPr="00C548D1">
        <w:rPr>
          <w:b/>
          <w:bCs/>
        </w:rPr>
        <w:t>Mõjukus</w:t>
      </w:r>
      <w:r w:rsidR="00C5151B">
        <w:rPr>
          <w:b/>
          <w:bCs/>
        </w:rPr>
        <w:t xml:space="preserve">. </w:t>
      </w:r>
      <w:r w:rsidR="00C5151B" w:rsidRPr="00C5151B">
        <w:t>I</w:t>
      </w:r>
      <w:r w:rsidRPr="00C5151B">
        <w:t>nstrument</w:t>
      </w:r>
      <w:r>
        <w:t xml:space="preserve"> peab aitama luua tööriistakasti kõikehõlmavate partnerlussuhete loomiseks ja EL</w:t>
      </w:r>
      <w:r w:rsidR="00876BE7">
        <w:t xml:space="preserve">i </w:t>
      </w:r>
      <w:r>
        <w:t xml:space="preserve">huve paremini edendama. Luuakse tõhusam ja lihtsam </w:t>
      </w:r>
      <w:r w:rsidR="00C962A7">
        <w:t>toetuste kombineerimise</w:t>
      </w:r>
      <w:r>
        <w:t xml:space="preserve"> ja garantiide süsteem (üks </w:t>
      </w:r>
      <w:r w:rsidR="00C962A7">
        <w:t>nõukogu</w:t>
      </w:r>
      <w:r>
        <w:t xml:space="preserve"> seni eksisteerinud kahe asemel)</w:t>
      </w:r>
      <w:r w:rsidR="00C962A7">
        <w:t xml:space="preserve">; </w:t>
      </w:r>
      <w:r>
        <w:t xml:space="preserve">vaadatakse üle erasektori </w:t>
      </w:r>
      <w:r w:rsidR="00876BE7">
        <w:t>toetuskõlblikkuse reeglid</w:t>
      </w:r>
      <w:r>
        <w:t>, et anda EL</w:t>
      </w:r>
      <w:r w:rsidR="00876BE7">
        <w:t>i</w:t>
      </w:r>
      <w:r>
        <w:t xml:space="preserve"> ettevõtetele eeliseid</w:t>
      </w:r>
      <w:r w:rsidR="00C962A7">
        <w:t xml:space="preserve">; </w:t>
      </w:r>
      <w:r>
        <w:t>võimalik, et luuakse otsetoetuste võimalus. Otsetoetusi plaanitaks anda liikmesriigi eraõiguslikule asutusele ilma taotlusvooruta, kui projekt on EL</w:t>
      </w:r>
      <w:r w:rsidR="00C962A7">
        <w:t>i</w:t>
      </w:r>
      <w:r>
        <w:t xml:space="preserve"> strateegilistes huvides ja toetab instrumendi eesmärke, näiteks investeeringute võimaldamiseks või teostatavusuuringute rahastamiseks strateegilistes valdkondades (kriitilised toorained, kliimamuutustega kohanemine, digi- või muu taristu).</w:t>
      </w:r>
    </w:p>
    <w:p w14:paraId="6EAD6E4E" w14:textId="77777777" w:rsidR="00A25A79" w:rsidRDefault="004F3DF4">
      <w:r>
        <w:rPr>
          <w:b/>
          <w:sz w:val="32"/>
        </w:rPr>
        <w:t>Mõju ja sihtrühm</w:t>
      </w:r>
    </w:p>
    <w:p w14:paraId="5BBD0A70" w14:textId="323F77E2" w:rsidR="0015322E" w:rsidRDefault="0015322E" w:rsidP="0015322E">
      <w:pPr>
        <w:jc w:val="both"/>
      </w:pPr>
      <w:r>
        <w:lastRenderedPageBreak/>
        <w:t xml:space="preserve">Algatus mõjutab tugevalt ja pikaajaliselt ELi </w:t>
      </w:r>
      <w:proofErr w:type="spellStart"/>
      <w:r>
        <w:t>välistegevust</w:t>
      </w:r>
      <w:proofErr w:type="spellEnd"/>
      <w:r>
        <w:t xml:space="preserve"> ja arengukoostööd ning seeläbi ka Eesti välissuhteid. </w:t>
      </w:r>
      <w:r w:rsidR="003948A5">
        <w:t xml:space="preserve">Spetsiifilisem mõju </w:t>
      </w:r>
      <w:r w:rsidR="00EF2F56">
        <w:t xml:space="preserve">on </w:t>
      </w:r>
      <w:r>
        <w:t>kolmandale sektorile, sealhulgas konkreetselt arengukoostööd</w:t>
      </w:r>
      <w:r w:rsidR="00EF2F56">
        <w:t xml:space="preserve"> ja humanitaarabi</w:t>
      </w:r>
      <w:r>
        <w:t xml:space="preserve"> läbiviivatele organisatsioonidele</w:t>
      </w:r>
      <w:r w:rsidR="00EF2F56">
        <w:t xml:space="preserve">, aga ka </w:t>
      </w:r>
      <w:r>
        <w:t xml:space="preserve">ettevõtjatele, kes osalevad (või on huvitatud osalemast) </w:t>
      </w:r>
      <w:r w:rsidR="00EF2F56">
        <w:t>arengukoostööga seotud</w:t>
      </w:r>
      <w:r>
        <w:t xml:space="preserve"> projektides.</w:t>
      </w:r>
      <w:r w:rsidR="003C6433">
        <w:t xml:space="preserve"> </w:t>
      </w:r>
      <w:r w:rsidR="00EF2F56">
        <w:t>Samuti peaks ettepanek aitama kaasa</w:t>
      </w:r>
      <w:r w:rsidR="003C6433">
        <w:t xml:space="preserve"> ELi laiemate eesmärkide täitmisele, mille saavutamise</w:t>
      </w:r>
      <w:r w:rsidR="00EF2F56">
        <w:t xml:space="preserve">l on selge </w:t>
      </w:r>
      <w:r w:rsidR="003C6433">
        <w:t xml:space="preserve">rahvusvaheline </w:t>
      </w:r>
      <w:r w:rsidR="00EF2F56">
        <w:t>mõõde</w:t>
      </w:r>
      <w:r w:rsidR="003C6433">
        <w:t xml:space="preserve">, </w:t>
      </w:r>
      <w:r w:rsidR="00EF2F56">
        <w:t>nagu näiteks</w:t>
      </w:r>
      <w:r w:rsidR="003C6433">
        <w:t xml:space="preserve"> kliima ja keskko</w:t>
      </w:r>
      <w:r w:rsidR="00EF2F56">
        <w:t>nd</w:t>
      </w:r>
      <w:r w:rsidR="001A3F19">
        <w:t xml:space="preserve"> ning</w:t>
      </w:r>
      <w:r w:rsidR="00E6745B">
        <w:t xml:space="preserve"> ELi</w:t>
      </w:r>
      <w:r w:rsidR="001A3F19">
        <w:t xml:space="preserve"> konkurentsivõime.</w:t>
      </w:r>
    </w:p>
    <w:p w14:paraId="480B7618" w14:textId="77777777" w:rsidR="00A25A79" w:rsidRDefault="004F3DF4">
      <w:r>
        <w:rPr>
          <w:b/>
          <w:sz w:val="32"/>
        </w:rPr>
        <w:t>Kaasamine</w:t>
      </w:r>
    </w:p>
    <w:p w14:paraId="7ABE4072" w14:textId="1649E054" w:rsidR="00A25A79" w:rsidRDefault="004F3DF4" w:rsidP="0015322E">
      <w:pPr>
        <w:jc w:val="both"/>
      </w:pPr>
      <w:r>
        <w:t xml:space="preserve">Kaasata kõik asjassepuutuvad partnerid ja huvirühmad, sealhulgas Eesti Rahvusvahelise Arengukoostöö Keskus, kolmanda sektori esindajad (Arengukoostöö Ümarlaud jt), arengukoostöö projektide kogemusega erasektori esindajad ja erialaliidud (sh IKTL, Kaubandus-Tööstuskoda). </w:t>
      </w:r>
    </w:p>
    <w:sectPr w:rsidR="00A25A79">
      <w:footerReference w:type="default" r:id="rId10"/>
      <w:pgSz w:w="12240" w:h="15840"/>
      <w:pgMar w:top="1134" w:right="1134"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848AB" w14:textId="77777777" w:rsidR="00720776" w:rsidRDefault="00720776">
      <w:pPr>
        <w:spacing w:after="0" w:line="240" w:lineRule="auto"/>
      </w:pPr>
      <w:r>
        <w:separator/>
      </w:r>
    </w:p>
  </w:endnote>
  <w:endnote w:type="continuationSeparator" w:id="0">
    <w:p w14:paraId="37863E9B" w14:textId="77777777" w:rsidR="00720776" w:rsidRDefault="0072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F53F" w14:textId="77777777" w:rsidR="00A25A79" w:rsidRDefault="004F3DF4">
    <w:pPr>
      <w:jc w:val="center"/>
    </w:pPr>
    <w:r>
      <w:fldChar w:fldCharType="begin"/>
    </w:r>
    <w:r>
      <w:instrText>PAGE</w:instrText>
    </w:r>
    <w:r>
      <w:fldChar w:fldCharType="separate"/>
    </w:r>
    <w:r w:rsidR="00BA64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9FACD" w14:textId="77777777" w:rsidR="00720776" w:rsidRDefault="00720776">
      <w:pPr>
        <w:spacing w:after="0" w:line="240" w:lineRule="auto"/>
      </w:pPr>
      <w:r>
        <w:separator/>
      </w:r>
    </w:p>
  </w:footnote>
  <w:footnote w:type="continuationSeparator" w:id="0">
    <w:p w14:paraId="3F8A7DF3" w14:textId="77777777" w:rsidR="00720776" w:rsidRDefault="00720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2183C"/>
    <w:multiLevelType w:val="hybridMultilevel"/>
    <w:tmpl w:val="BA92179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0382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79"/>
    <w:rsid w:val="00020647"/>
    <w:rsid w:val="00065091"/>
    <w:rsid w:val="00084047"/>
    <w:rsid w:val="00086A3D"/>
    <w:rsid w:val="0015322E"/>
    <w:rsid w:val="001820C7"/>
    <w:rsid w:val="00192C6A"/>
    <w:rsid w:val="001A3F19"/>
    <w:rsid w:val="00200423"/>
    <w:rsid w:val="00215767"/>
    <w:rsid w:val="00235962"/>
    <w:rsid w:val="002C2043"/>
    <w:rsid w:val="00352278"/>
    <w:rsid w:val="003565A3"/>
    <w:rsid w:val="00376CC8"/>
    <w:rsid w:val="00384CD9"/>
    <w:rsid w:val="003948A5"/>
    <w:rsid w:val="003C6433"/>
    <w:rsid w:val="00466830"/>
    <w:rsid w:val="00484BBF"/>
    <w:rsid w:val="004F3DF4"/>
    <w:rsid w:val="00565E95"/>
    <w:rsid w:val="00640E7C"/>
    <w:rsid w:val="00646372"/>
    <w:rsid w:val="00647565"/>
    <w:rsid w:val="00665720"/>
    <w:rsid w:val="00720776"/>
    <w:rsid w:val="0074633F"/>
    <w:rsid w:val="007C21FF"/>
    <w:rsid w:val="00843E01"/>
    <w:rsid w:val="008450CE"/>
    <w:rsid w:val="00876BE7"/>
    <w:rsid w:val="008A316C"/>
    <w:rsid w:val="008E4F24"/>
    <w:rsid w:val="00936095"/>
    <w:rsid w:val="009B7358"/>
    <w:rsid w:val="00A25A79"/>
    <w:rsid w:val="00A42425"/>
    <w:rsid w:val="00A60770"/>
    <w:rsid w:val="00AB57EA"/>
    <w:rsid w:val="00AC2D87"/>
    <w:rsid w:val="00B65392"/>
    <w:rsid w:val="00BA64BF"/>
    <w:rsid w:val="00C5151B"/>
    <w:rsid w:val="00C548D1"/>
    <w:rsid w:val="00C962A7"/>
    <w:rsid w:val="00CA7A51"/>
    <w:rsid w:val="00D077E3"/>
    <w:rsid w:val="00D20E61"/>
    <w:rsid w:val="00D268C4"/>
    <w:rsid w:val="00D723E8"/>
    <w:rsid w:val="00D95FAB"/>
    <w:rsid w:val="00DC119B"/>
    <w:rsid w:val="00DC2C31"/>
    <w:rsid w:val="00DE62D4"/>
    <w:rsid w:val="00E5486B"/>
    <w:rsid w:val="00E65FBD"/>
    <w:rsid w:val="00E6745B"/>
    <w:rsid w:val="00E737BB"/>
    <w:rsid w:val="00EA34E9"/>
    <w:rsid w:val="00EF2F56"/>
    <w:rsid w:val="00F443C3"/>
    <w:rsid w:val="00F5622A"/>
    <w:rsid w:val="00F90D0F"/>
    <w:rsid w:val="00FC4D5C"/>
    <w:rsid w:val="00FD313A"/>
    <w:rsid w:val="039FA9AF"/>
    <w:rsid w:val="218BB998"/>
    <w:rsid w:val="35AA0EE9"/>
    <w:rsid w:val="41B80D21"/>
    <w:rsid w:val="5385A349"/>
    <w:rsid w:val="608AE424"/>
    <w:rsid w:val="616A494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72CF"/>
  <w15:docId w15:val="{7C1DB2F2-46A9-4E0C-A298-F021DD2C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Roboto"/>
        <w:sz w:val="24"/>
        <w:lang w:val="et-EE" w:eastAsia="et-E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76BE7"/>
    <w:pPr>
      <w:ind w:left="720"/>
      <w:contextualSpacing/>
    </w:pPr>
  </w:style>
  <w:style w:type="paragraph" w:styleId="Pis">
    <w:name w:val="header"/>
    <w:basedOn w:val="Normaallaad"/>
    <w:link w:val="PisMrk"/>
    <w:uiPriority w:val="99"/>
    <w:semiHidden/>
    <w:unhideWhenUsed/>
    <w:rsid w:val="00D20E61"/>
    <w:pPr>
      <w:tabs>
        <w:tab w:val="center" w:pos="4536"/>
        <w:tab w:val="right" w:pos="9072"/>
      </w:tabs>
      <w:spacing w:after="0" w:line="240" w:lineRule="auto"/>
    </w:pPr>
  </w:style>
  <w:style w:type="character" w:customStyle="1" w:styleId="PisMrk">
    <w:name w:val="Päis Märk"/>
    <w:basedOn w:val="Liguvaikefont"/>
    <w:link w:val="Pis"/>
    <w:uiPriority w:val="99"/>
    <w:semiHidden/>
    <w:rsid w:val="00D20E61"/>
  </w:style>
  <w:style w:type="paragraph" w:styleId="Jalus">
    <w:name w:val="footer"/>
    <w:basedOn w:val="Normaallaad"/>
    <w:link w:val="JalusMrk"/>
    <w:uiPriority w:val="99"/>
    <w:semiHidden/>
    <w:unhideWhenUsed/>
    <w:rsid w:val="00D20E61"/>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D2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7AD263B06F984A9FADE851BE7F8B78" ma:contentTypeVersion="13" ma:contentTypeDescription="Loo uus dokument" ma:contentTypeScope="" ma:versionID="1713dfb893900b6b0125f286e0038b41">
  <xsd:schema xmlns:xsd="http://www.w3.org/2001/XMLSchema" xmlns:xs="http://www.w3.org/2001/XMLSchema" xmlns:p="http://schemas.microsoft.com/office/2006/metadata/properties" xmlns:ns2="8f31e32e-7937-46b0-85b2-70eae375b10d" xmlns:ns3="3d7fb3fa-7f75-4382-a1fe-43b99e0a9782" targetNamespace="http://schemas.microsoft.com/office/2006/metadata/properties" ma:root="true" ma:fieldsID="9e361e9f271b937fc5fefcc8c64e0f3d" ns2:_="" ns3:_="">
    <xsd:import namespace="8f31e32e-7937-46b0-85b2-70eae375b10d"/>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1e32e-7937-46b0-85b2-70eae375b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595f80-5f17-4192-b1bd-f571a115a286}"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8f31e32e-7937-46b0-85b2-70eae375b1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A2FC1-AF32-4047-8552-F78343DB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1e32e-7937-46b0-85b2-70eae375b10d"/>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F15AC-2461-4CFD-A81B-55C883EED67D}">
  <ds:schemaRefs>
    <ds:schemaRef ds:uri="http://schemas.microsoft.com/office/2006/metadata/properties"/>
    <ds:schemaRef ds:uri="http://schemas.microsoft.com/office/infopath/2007/PartnerControls"/>
    <ds:schemaRef ds:uri="3d7fb3fa-7f75-4382-a1fe-43b99e0a9782"/>
    <ds:schemaRef ds:uri="8f31e32e-7937-46b0-85b2-70eae375b10d"/>
  </ds:schemaRefs>
</ds:datastoreItem>
</file>

<file path=customXml/itemProps3.xml><?xml version="1.0" encoding="utf-8"?>
<ds:datastoreItem xmlns:ds="http://schemas.openxmlformats.org/officeDocument/2006/customXml" ds:itemID="{6B669B5D-2C94-4C03-8F0D-AD7531548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5252</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Tarvis - RK</dc:creator>
  <cp:keywords/>
  <cp:lastModifiedBy>Zanna Arhipova</cp:lastModifiedBy>
  <cp:revision>2</cp:revision>
  <dcterms:created xsi:type="dcterms:W3CDTF">2025-08-27T09:00:00Z</dcterms:created>
  <dcterms:modified xsi:type="dcterms:W3CDTF">2025-08-27T09:00:00Z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2025-08-06T12:28:53Z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f3f10273-07ee-418a-9e16-e6480e52e138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0x010100897AD263B06F984A9FADE851BE7F8B78</vt:lpwstr>
  </property>
  <property fmtid="{D5CDD505-2E9C-101B-9397-08002B2CF9AE}" pid="11" name="MediaServiceImageTags">
    <vt:lpwstr/>
  </property>
</Properties>
</file>